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hyperlink r:id="rId6">
        <w:r w:rsidDel="00000000" w:rsidR="00000000" w:rsidRPr="00000000">
          <w:rPr>
            <w:color w:val="1155cc"/>
            <w:u w:val="single"/>
          </w:rPr>
          <w:drawing>
            <wp:inline distB="114300" distT="114300" distL="114300" distR="114300">
              <wp:extent cx="5943600" cy="1054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0541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Use Active Contract Management to Improve Outcomes: </w:t>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Templates and Examples</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98227eb0nmg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Active Contract Management: Sample Language</w:t>
            </w:r>
          </w:hyperlink>
          <w:r w:rsidDel="00000000" w:rsidR="00000000" w:rsidRPr="00000000">
            <w:rPr>
              <w:rtl w:val="0"/>
            </w:rPr>
          </w:r>
        </w:p>
        <w:p w:rsidR="00000000" w:rsidDel="00000000" w:rsidP="00000000" w:rsidRDefault="00000000" w:rsidRPr="00000000" w14:paraId="0000000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1cy3p92rtw2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Equity Considerations: Sample Language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Style w:val="Heading3"/>
              <w:widowControl w:val="0"/>
              <w:spacing w:line="240" w:lineRule="auto"/>
              <w:rPr>
                <w:b w:val="1"/>
              </w:rPr>
            </w:pPr>
            <w:bookmarkStart w:colFirst="0" w:colLast="0" w:name="_98227eb0nmg9" w:id="0"/>
            <w:bookmarkEnd w:id="0"/>
            <w:r w:rsidDel="00000000" w:rsidR="00000000" w:rsidRPr="00000000">
              <w:rPr>
                <w:b w:val="1"/>
                <w:rtl w:val="0"/>
              </w:rPr>
              <w:t xml:space="preserve">Active Contract Management: Sample Language</w:t>
            </w:r>
          </w:p>
          <w:p w:rsidR="00000000" w:rsidDel="00000000" w:rsidP="00000000" w:rsidRDefault="00000000" w:rsidRPr="00000000" w14:paraId="0000000B">
            <w:pPr>
              <w:widowControl w:val="0"/>
              <w:spacing w:line="240" w:lineRule="auto"/>
              <w:rPr>
                <w:b w:val="1"/>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t xml:space="preserve">The agency will be implementing an active contract management (ACM) approach throughout this _____________</w:t>
            </w:r>
            <w:r w:rsidDel="00000000" w:rsidR="00000000" w:rsidRPr="00000000">
              <w:rPr>
                <w:b w:val="1"/>
                <w:rtl w:val="0"/>
              </w:rPr>
              <w:t xml:space="preserve">[program/project]. </w:t>
            </w:r>
            <w:r w:rsidDel="00000000" w:rsidR="00000000" w:rsidRPr="00000000">
              <w:rPr>
                <w:rtl w:val="0"/>
              </w:rPr>
              <w:t xml:space="preserve"> Successful respondents will be required to engage ___________</w:t>
            </w:r>
            <w:r w:rsidDel="00000000" w:rsidR="00000000" w:rsidRPr="00000000">
              <w:rPr>
                <w:b w:val="1"/>
                <w:rtl w:val="0"/>
              </w:rPr>
              <w:t xml:space="preserve">[frequency or mechanism for engagement]</w:t>
            </w:r>
            <w:r w:rsidDel="00000000" w:rsidR="00000000" w:rsidRPr="00000000">
              <w:rPr>
                <w:rtl w:val="0"/>
              </w:rPr>
              <w:t xml:space="preserve"> with the agency, and other stakeholders, to analyze performance, identify trends, address needs, and implement continuous process improvement.  </w:t>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t xml:space="preserve">The goal of the ACM approach is to create a collaborative relationship focused on data-driven decision-making and innovation.  Respondents are encouraged to propose data collection approaches, metrics, and collaboration tools to support this goal.  Such activities might include:</w:t>
            </w:r>
          </w:p>
          <w:p w:rsidR="00000000" w:rsidDel="00000000" w:rsidP="00000000" w:rsidRDefault="00000000" w:rsidRPr="00000000" w14:paraId="0000000F">
            <w:pPr>
              <w:widowControl w:val="0"/>
              <w:numPr>
                <w:ilvl w:val="0"/>
                <w:numId w:val="1"/>
              </w:numPr>
              <w:spacing w:line="240" w:lineRule="auto"/>
              <w:ind w:left="720" w:hanging="360"/>
            </w:pPr>
            <w:r w:rsidDel="00000000" w:rsidR="00000000" w:rsidRPr="00000000">
              <w:rPr>
                <w:rtl w:val="0"/>
              </w:rPr>
              <w:t xml:space="preserve">Collaborating with partners to develop comprehensive reporting on key metrics</w:t>
            </w:r>
          </w:p>
          <w:p w:rsidR="00000000" w:rsidDel="00000000" w:rsidP="00000000" w:rsidRDefault="00000000" w:rsidRPr="00000000" w14:paraId="00000010">
            <w:pPr>
              <w:widowControl w:val="0"/>
              <w:numPr>
                <w:ilvl w:val="0"/>
                <w:numId w:val="2"/>
              </w:numPr>
              <w:spacing w:line="240" w:lineRule="auto"/>
              <w:ind w:left="720" w:hanging="360"/>
            </w:pPr>
            <w:r w:rsidDel="00000000" w:rsidR="00000000" w:rsidRPr="00000000">
              <w:rPr>
                <w:rtl w:val="0"/>
              </w:rPr>
              <w:t xml:space="preserve">Analyzing key performance metrics for effectiveness in service delivery</w:t>
            </w:r>
          </w:p>
          <w:p w:rsidR="00000000" w:rsidDel="00000000" w:rsidP="00000000" w:rsidRDefault="00000000" w:rsidRPr="00000000" w14:paraId="00000011">
            <w:pPr>
              <w:widowControl w:val="0"/>
              <w:numPr>
                <w:ilvl w:val="0"/>
                <w:numId w:val="2"/>
              </w:numPr>
              <w:spacing w:line="240" w:lineRule="auto"/>
              <w:ind w:left="720" w:hanging="360"/>
            </w:pPr>
            <w:r w:rsidDel="00000000" w:rsidR="00000000" w:rsidRPr="00000000">
              <w:rPr>
                <w:rtl w:val="0"/>
              </w:rPr>
              <w:t xml:space="preserve">Reviewing customer satisfaction feedback to ensure a customer service-centric culture</w:t>
            </w:r>
          </w:p>
          <w:p w:rsidR="00000000" w:rsidDel="00000000" w:rsidP="00000000" w:rsidRDefault="00000000" w:rsidRPr="00000000" w14:paraId="00000012">
            <w:pPr>
              <w:widowControl w:val="0"/>
              <w:numPr>
                <w:ilvl w:val="0"/>
                <w:numId w:val="2"/>
              </w:numPr>
              <w:spacing w:line="240" w:lineRule="auto"/>
              <w:ind w:left="720" w:hanging="360"/>
            </w:pPr>
            <w:r w:rsidDel="00000000" w:rsidR="00000000" w:rsidRPr="00000000">
              <w:rPr>
                <w:rtl w:val="0"/>
              </w:rPr>
              <w:t xml:space="preserve">Sharing new services or new service organizations within the community</w:t>
            </w:r>
          </w:p>
          <w:p w:rsidR="00000000" w:rsidDel="00000000" w:rsidP="00000000" w:rsidRDefault="00000000" w:rsidRPr="00000000" w14:paraId="00000013">
            <w:pPr>
              <w:widowControl w:val="0"/>
              <w:numPr>
                <w:ilvl w:val="0"/>
                <w:numId w:val="3"/>
              </w:numPr>
              <w:spacing w:line="240" w:lineRule="auto"/>
              <w:ind w:left="720" w:hanging="360"/>
            </w:pPr>
            <w:r w:rsidDel="00000000" w:rsidR="00000000" w:rsidRPr="00000000">
              <w:rPr>
                <w:rtl w:val="0"/>
              </w:rPr>
              <w:t xml:space="preserve">Developing recommendations for new strategies in the workforce system to fill existing or emerging needs</w:t>
            </w:r>
          </w:p>
          <w:p w:rsidR="00000000" w:rsidDel="00000000" w:rsidP="00000000" w:rsidRDefault="00000000" w:rsidRPr="00000000" w14:paraId="00000014">
            <w:pPr>
              <w:widowControl w:val="0"/>
              <w:numPr>
                <w:ilvl w:val="0"/>
                <w:numId w:val="3"/>
              </w:numPr>
              <w:spacing w:line="240" w:lineRule="auto"/>
              <w:ind w:left="720" w:hanging="360"/>
              <w:rPr>
                <w:b w:val="1"/>
              </w:rPr>
            </w:pPr>
            <w:r w:rsidDel="00000000" w:rsidR="00000000" w:rsidRPr="00000000">
              <w:rPr>
                <w:b w:val="1"/>
                <w:rtl w:val="0"/>
              </w:rPr>
              <w:t xml:space="preserve">[insert additional activities]</w:t>
            </w:r>
          </w:p>
        </w:tc>
      </w:tr>
    </w:tbl>
    <w:p w:rsidR="00000000" w:rsidDel="00000000" w:rsidP="00000000" w:rsidRDefault="00000000" w:rsidRPr="00000000" w14:paraId="00000015">
      <w:pPr>
        <w:rPr>
          <w:highlight w:val="whit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3"/>
              <w:rPr>
                <w:b w:val="1"/>
              </w:rPr>
            </w:pPr>
            <w:bookmarkStart w:colFirst="0" w:colLast="0" w:name="_1cy3p92rtw2t" w:id="1"/>
            <w:bookmarkEnd w:id="1"/>
            <w:r w:rsidDel="00000000" w:rsidR="00000000" w:rsidRPr="00000000">
              <w:rPr>
                <w:b w:val="1"/>
                <w:rtl w:val="0"/>
              </w:rPr>
              <w:t xml:space="preserve">Equity Considerations: Sample Language</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b w:val="1"/>
                <w:highlight w:val="white"/>
                <w:rtl w:val="0"/>
              </w:rPr>
              <w:t xml:space="preserve">Capacity Building: </w:t>
            </w:r>
            <w:r w:rsidDel="00000000" w:rsidR="00000000" w:rsidRPr="00000000">
              <w:rPr>
                <w:highlight w:val="white"/>
                <w:rtl w:val="0"/>
              </w:rPr>
              <w:t xml:space="preserve">Costs associated with the provision of capacity building to members of the ____________</w:t>
            </w:r>
            <w:r w:rsidDel="00000000" w:rsidR="00000000" w:rsidRPr="00000000">
              <w:rPr>
                <w:b w:val="1"/>
                <w:highlight w:val="white"/>
                <w:rtl w:val="0"/>
              </w:rPr>
              <w:t xml:space="preserve">[population/community]</w:t>
            </w:r>
            <w:r w:rsidDel="00000000" w:rsidR="00000000" w:rsidRPr="00000000">
              <w:rPr>
                <w:highlight w:val="white"/>
                <w:rtl w:val="0"/>
              </w:rPr>
              <w:t xml:space="preserve">, such as human-centered design, trauma-informed care, or having difficult conversations, are allowable expenses when they are necessary to equip community members to support the collection of qualitative data from participants. </w:t>
            </w:r>
            <w:r w:rsidDel="00000000" w:rsidR="00000000" w:rsidRPr="00000000">
              <w:rPr>
                <w:rtl w:val="0"/>
              </w:rPr>
              <w:t xml:space="preserve">Up to _____ </w:t>
            </w:r>
            <w:r w:rsidDel="00000000" w:rsidR="00000000" w:rsidRPr="00000000">
              <w:rPr>
                <w:b w:val="1"/>
                <w:rtl w:val="0"/>
              </w:rPr>
              <w:t xml:space="preserve">[% or $ of grant]</w:t>
            </w:r>
            <w:r w:rsidDel="00000000" w:rsidR="00000000" w:rsidRPr="00000000">
              <w:rPr>
                <w:rtl w:val="0"/>
              </w:rPr>
              <w:t xml:space="preserve"> may be used to cover expenses related to community capacity building.  Expected expenses must be documented in the budget.   </w:t>
            </w:r>
            <w:r w:rsidDel="00000000" w:rsidR="00000000" w:rsidRPr="00000000">
              <w:rPr>
                <w:rtl w:val="0"/>
              </w:rPr>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b w:val="1"/>
                <w:rtl w:val="0"/>
              </w:rPr>
              <w:t xml:space="preserve">Compensation: </w:t>
            </w:r>
            <w:r w:rsidDel="00000000" w:rsidR="00000000" w:rsidRPr="00000000">
              <w:rPr>
                <w:rtl w:val="0"/>
              </w:rPr>
              <w:t xml:space="preserve">Reasonable compensation of participants for participation (_________</w:t>
            </w:r>
            <w:r w:rsidDel="00000000" w:rsidR="00000000" w:rsidRPr="00000000">
              <w:rPr>
                <w:b w:val="1"/>
                <w:rtl w:val="0"/>
              </w:rPr>
              <w:t xml:space="preserve">[example amount or range]</w:t>
            </w:r>
            <w:r w:rsidDel="00000000" w:rsidR="00000000" w:rsidRPr="00000000">
              <w:rPr>
                <w:rtl w:val="0"/>
              </w:rPr>
              <w:t xml:space="preserve">) in surveys, focus groups, listening sessions or interviews is an allowable expense and should be documented in the budget. Compensation should be based on the amount of time required to participate in the data collection as well as consideration for any travel or technology access costs that the individual might incur.  </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b w:val="1"/>
                <w:rtl w:val="0"/>
              </w:rPr>
              <w:t xml:space="preserve">Agency Developed Personas/User Journeys:</w:t>
            </w:r>
            <w:r w:rsidDel="00000000" w:rsidR="00000000" w:rsidRPr="00000000">
              <w:rPr>
                <w:rtl w:val="0"/>
              </w:rPr>
              <w:t xml:space="preserve"> The agency has developed a set of personas and user journeys, available in ________</w:t>
            </w:r>
            <w:r w:rsidDel="00000000" w:rsidR="00000000" w:rsidRPr="00000000">
              <w:rPr>
                <w:b w:val="1"/>
                <w:rtl w:val="0"/>
              </w:rPr>
              <w:t xml:space="preserve">[section or location]</w:t>
            </w:r>
            <w:r w:rsidDel="00000000" w:rsidR="00000000" w:rsidRPr="00000000">
              <w:rPr>
                <w:rtl w:val="0"/>
              </w:rPr>
              <w:t xml:space="preserve"> of the RFP/NOFO.  Respondents should use these materials to guide their program design, implementation and evaluation. Successful respondents will specifically address how the proposed approach will meet the needs outlined in the personas and user journeys. </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b w:val="1"/>
                <w:rtl w:val="0"/>
              </w:rPr>
              <w:t xml:space="preserve">Respondent Developed Personas/User Journeys:  </w:t>
            </w:r>
            <w:r w:rsidDel="00000000" w:rsidR="00000000" w:rsidRPr="00000000">
              <w:rPr>
                <w:rtl w:val="0"/>
              </w:rPr>
              <w:t xml:space="preserve">Respondents should include a set of personas and user journeys, which reflect the __________ </w:t>
            </w:r>
            <w:r w:rsidDel="00000000" w:rsidR="00000000" w:rsidRPr="00000000">
              <w:rPr>
                <w:b w:val="1"/>
                <w:rtl w:val="0"/>
              </w:rPr>
              <w:t xml:space="preserve">[population or area being served] </w:t>
            </w:r>
            <w:r w:rsidDel="00000000" w:rsidR="00000000" w:rsidRPr="00000000">
              <w:rPr>
                <w:rtl w:val="0"/>
              </w:rPr>
              <w:t xml:space="preserve">in their response to demonstrate their understanding of the unique needs, challenges and opportunities that the program will address.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For more information on active contract management, including the typical structure of an ACM meeting and considerations for implementing ACM effectively, see Harvard GPL’s publication: </w:t>
      </w:r>
      <w:hyperlink r:id="rId8">
        <w:r w:rsidDel="00000000" w:rsidR="00000000" w:rsidRPr="00000000">
          <w:rPr>
            <w:color w:val="1155cc"/>
            <w:u w:val="single"/>
            <w:rtl w:val="0"/>
          </w:rPr>
          <w:t xml:space="preserve">Active Contract Management: How Governments Can Collaborate More Effectively with Social Service Providers to Achieve Better Results</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Harvard GPL’s </w:t>
      </w:r>
      <w:hyperlink r:id="rId9">
        <w:r w:rsidDel="00000000" w:rsidR="00000000" w:rsidRPr="00000000">
          <w:rPr>
            <w:color w:val="1155cc"/>
            <w:u w:val="single"/>
            <w:rtl w:val="0"/>
          </w:rPr>
          <w:t xml:space="preserve">Six Tools for Implementing Active Contract Management</w:t>
        </w:r>
      </w:hyperlink>
      <w:r w:rsidDel="00000000" w:rsidR="00000000" w:rsidRPr="00000000">
        <w:rPr>
          <w:rtl w:val="0"/>
        </w:rPr>
        <w:t xml:space="preserve"> offers hands-on, practical resources and guidance to help workforce development agencies implement ACM, including guidance on identifying key performance metrics, analyzing data, and building trust between the agency and service providers.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Visit RFA’s Workforce Evidence-Based Spending Guide for more resources: </w:t>
      </w:r>
      <w:hyperlink r:id="rId10">
        <w:r w:rsidDel="00000000" w:rsidR="00000000" w:rsidRPr="00000000">
          <w:rPr>
            <w:b w:val="1"/>
            <w:color w:val="1155cc"/>
            <w:u w:val="single"/>
            <w:rtl w:val="0"/>
          </w:rPr>
          <w:t xml:space="preserve">https://workforcespending.results4america.org</w:t>
        </w:r>
      </w:hyperlink>
      <w:r w:rsidDel="00000000" w:rsidR="00000000" w:rsidRPr="00000000">
        <w:rPr>
          <w:b w:val="1"/>
          <w:rtl w:val="0"/>
        </w:rPr>
        <w:t xml:space="preserve"> </w:t>
      </w: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orkforcespending.results4america.org" TargetMode="External"/><Relationship Id="rId9" Type="http://schemas.openxmlformats.org/officeDocument/2006/relationships/hyperlink" Target="https://govlab.hks.harvard.edu/files/govlabs/files/six_tools_for_implementing_active_contract_management.pdf" TargetMode="External"/><Relationship Id="rId5" Type="http://schemas.openxmlformats.org/officeDocument/2006/relationships/styles" Target="styles.xml"/><Relationship Id="rId6" Type="http://schemas.openxmlformats.org/officeDocument/2006/relationships/hyperlink" Target="https://workforcespending.results4america.org/" TargetMode="External"/><Relationship Id="rId7" Type="http://schemas.openxmlformats.org/officeDocument/2006/relationships/image" Target="media/image1.png"/><Relationship Id="rId8" Type="http://schemas.openxmlformats.org/officeDocument/2006/relationships/hyperlink" Target="https://govlab.hks.harvard.edu/files/govlabs/files/active_contract_management_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